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19 vom 1. September 2025</w:t>
      </w:r>
    </w:p>
    <w:p>
      <w:r>
        <w:t>GR Gerichte, 2025-09-01, DE</w:t>
      </w:r>
    </w:p>
    <w:p>
      <w:r>
        <w:rPr>
          <w:b/>
        </w:rPr>
        <w:t xml:space="preserve">Quelle: </w:t>
      </w:r>
      <w:r>
        <w:t>https://mcp.opencaselaw.ch/entscheid/gr_gerichte_SV1 2025 19</w:t>
      </w:r>
    </w:p>
    <w:p>
      <w:r>
        <w:t>FR: GR_GERICHTE SV1 2025 19 du 1 septembre 2025</w:t>
      </w:r>
    </w:p>
    <w:p>
      <w:r>
        <w:t>IT: GR_GERICHTE SV1 2025 19 del 1 settembre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18. März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Streitgegenstand bildet die Frage, ob die Beschwerdegegnerin das Rentenerhöhungsgesuch der Beschwerdeführerin zu Recht abgewiesen hat.</w:t>
      </w:r>
    </w:p>
    <w:p>
      <w:r>
        <w:rPr>
          <w:b/>
        </w:rPr>
        <w:t>E. 3</w:t>
      </w:r>
    </w:p>
    <w:p>
      <w:r>
        <w:t>In Bezug auf das anwendbare Recht ist festzuhalten, dass seit dem 1. Januar 2022 die revidierten Bestimmungen des IVG (sowie des ATSG) und der Verordnung über die Invalidenversicherung (IVV; SR 831.201) in Kraft sind (Weiterentwicklung der IV). Im Rahmen dieser Revision wurde unter anderem auch Art. 17 ATSG angepasst. Gemäss lit. c der Übergangsbestimmungen zur Änderung vom 19. Juni 2020 gilt jedoch für Rentenbezügerinnen und -bezüger, deren Rentenanspruch vor Inkrafttreten der Änderung entstanden ist und die bei Inkrafttreten der Änderung das 55. Altersjahr vollendet haben, das bisherige Recht (vgl. Urteile des Bundesgerichts 8C_55/2024 vom 16. Dezember 2024 E. 3.1 und 9C_471/2023 vom 25. März 2024 E. 3.1; vgl. auch Kreisschreiben des Bundesamts für Sozialversicherungen [BSV] über Invalidität und Rente in der Invalidenversicherung [KSIR], gültig ab dem 1. Januar 2022, Rz. 9103 [&lt;http://www.sozialversicherungen.admin.ch&gt;]). Da diese Vor-aussetzungen bei der Beschwerdeführerin (Jahrgang 1964) unbestrittenermassen erfüllt sind, finden vorliegend die Bestimmungen des IVG und</w:t>
      </w:r>
    </w:p>
    <w:p>
      <w:r>
        <w:rPr>
          <w:b/>
        </w:rPr>
        <w:t>E. 6</w:t>
      </w:r>
    </w:p>
    <w:p>
      <w:r>
        <w:t>/ 29 der IVV in den bis zum 31. Dezember 2021 gültig gewesenen Fassungen Anwendung. 4.1. Ändert sich der Invaliditätsgrad einer Rentenbezügerin erheblich, wird die Rente von Amtes wegen oder auf Gesuch hin für die Zukunft entsprechend erhöht, herabgesetzt oder aufgehoben (Art. 1 Abs. 1 IVG i.V.m. aArt. 17 Abs. 1 ATSG, Art. 87, Art. 88a und Art. 88bis IVV). Eine Revision der Invalidenrente hat bei jeder wesentlichen Änderung in den tatsächlichen Verhältnissen seit Zusprechung der Rente zu erfolgen, wenn diese geeignet ist, den Invaliditätsgrad und damit den Rentenanspruch zu beeinflussen. Dies gilt nicht nur für wesentliche Veränderungen des Gesundheitszustandes, sondern auch für erhebliche Veränderungen der erwerblichen Auswirkungen eines an sich gleich gebliebenen Gesundheitszustandes (vgl. BGE 147 V 167 E. 4.1, 144 I 103 E. 2.1, 141 V 9 E. 2.3, 134 V 131 E. 3, 133 V 545 E. 6.1 und 130 V 343 E. 3.5; siehe ferner Urteile des Bundesgerichts 8C_250/2024 vom 14. April 2025 E. 2.2, 8C_343/2024 vom</w:t>
      </w:r>
    </w:p>
    <w:p>
      <w:r>
        <w:rPr>
          <w:b/>
        </w:rPr>
        <w:t>E. 6.1</w:t>
      </w:r>
    </w:p>
    <w:p>
      <w:r>
        <w:t>In der angefochtenen Verfügung vom 18. März 2025 verneinte die Beschwerdegegnerin eine Rentenerhöhung ab dem 1. April 2024 mangels dauerhafter Verschlechterung des Gesundheitszustands der Beschwerdeführerin (vgl. IV-act. 234). Dabei stützte sie sich auf die beiden Beurteilungen von RAD-Arzt Dr. med. H._____ vom 17. Mai 2024 und 24. September 2024 ab. In erstgenannter Stellungnahme führte dieser insbesondere aus, aus den aktuell vorliegenden Facharztberichten der letzten 18 Monate ergebe sich eine vorübergehende Verschlechterung der bekannten rheumatologischen Erkrankung. Aufgrund von Therapieanpassungen sei jedoch eine Besserung des Gesundheitszustands bis zum 5. Februar 2024 eingetreten. Die Begleiterkrankungen (insbesondere die Pneumonien und Harnwegsinfekte) erschienen abgeklungen. Somit lasse sich aktuell keine anhaltende wesentliche Verschlechterung des Gesundheitszustands feststellen. Gemäss Aktenlage bestehe deshalb eine 50%ige Arbeitsfähigkeit für leichte wechselbelastende Tätigkeiten (vgl. IV-act. 235 S. 6 f.). In seiner Stellungnahme vom 24. September 2024 hielt der RAD-Arzt Dr. med. H._____ namentlich fest, die neu eingereichten Arztberichte dokumentierten ebenfalls keine dauerhafte Verschlechterung des Gesundheitszustands. Es werde weiterhin der schubweise Verlauf der rheumatologischen Erkrankung im Stadium der Besserung mit ebenfalls gebesserten LWS-Beschwerden bestätigt. Die vorangegangene Pneumonie sei abgeklungen und die vorübergehend auffälligen Nierenparameter hätten sich normalisiert. Hinsichtlich der diversen Arthrodesen des linken Fusses bei Hammerzehe im 2018 und 2019 bestehe ein prinzipiell beschwerdefreier Verlauf. Die radiologisch festgestellten Schraubenbrüche seien am 9. Juli 2024 aus den Weichteilen entfernt worden, wobei mit einer vollständigen Ausheilung des OP-Gebiets zu rechnen sei. Das Vorhofflimmern sei seit Mai 2023 bekannt und führe zu keiner weiteren Beeinträchtigung der bereits reduzierten Arbeitsfähigkeit. Gemäss Aktenlage sei somit weiterhin von einer 50%igen</w:t>
      </w:r>
    </w:p>
    <w:p>
      <w:r>
        <w:rPr>
          <w:b/>
        </w:rPr>
        <w:t>E. 6.2</w:t>
      </w:r>
    </w:p>
    <w:p>
      <w:r>
        <w:t>Demgegenüber ist die Beschwerdeführerin mit Blick auf den im Recht liegenden Bericht ihrer Hausärztin Dr. med. G._____ vom 6. September 2024 der Auffassung, die Beschwerdegegnerin gehe fälschlicherweise davon aus, dass keine wesentliche Verschlechterung ihres Gesundheitszustands vorliege und daher auf weitere Abklärungen verzichtet werden könne (vgl. act. A.1 S. 5). Im besagten hausärztlichen Bericht wurden folgende Diagnosen mit Auswirkungen auf die Arbeitsfähigkeit ausgewiesen (vgl. IV-act. 226 S. 1 f.): Schubweise auftretende, undifferenzierte Polyarthritis verbunden mit Myalgien, subfebrilen Temperaturen und Kopfschmerzen unklarer Ätiologie Polyarthrose  Rhizarthrose beidseits  Hallux valgus und Senk-/Spreizfüsse beidseits, Lisfranc-Arthrosen beidseits  Status nach stellungskorrigierender Arthrodese TMT-Gelenke I-III, NC-Arthrodese mit Spongiosaplastik, Osteosynthese Metatarsale III mit Spongiosaplastik und Hallux valgus-Korrektur mittels AKIN Osteotomie sowie Kapselraffung Fuss rechts am 20.04.2018  Postoperativer Wundinfekt mit antibiotischer Therapie für insgesamt zehn Tage  Stellungskorrigierende Arthrodese TMT I-III mit Spongiosaplastik, Hallux-Korrektur links am 25.10.2019, aktuell: multipler Schraubenbruch mit Dislokation eines Schraubenkopfes in Subkutangewebe navicular, partielle OSME dislozierter Schraubenköpfe 09.07.2024  Status nach Knie-TP links bei Gonarthrose  Gonarthrose rechts Lumbovertebrales Schmerzsyndrom und zervikovertebrales Syndrom Status nach Zehenschaftfrakturen Digitus II und III rechts (2018), unprovoziert bei geringem Trauma, Insuffizienzfraktur Calcaneus rechts 08/2022 Rezidivierende Pneumonien und rezidivierende Harnwegsinfekte Beckenfraktur (Sturz auf die rechte Seite am 31.03.2021) vom lateralen Kompressionstyp rechts mit  Fraktur Massa lateralis des Os sacrum rechts  Obere und untere Schambeinastfraktur rechts Intermittierend tachykardes Vorhofflimmern, ED 05/2023 im Rahmen eines Infekts Zum Verlauf führte Dr. med. G._____ insbesondere aus, dass es der Beschwerdeführerin in den letzten zwei Jahren nicht gelungen sei, langfristig einer Arbeit nachzugehen. In Bezug auf die undifferenzierte Polyarthritis seien diverse medikamentöse Therapien versucht worden, zuletzt im Januar 2023 mit Orenzia. Diese hätten aber aufgrund von schweren Nebenwirkungen sistiert werden müssen. Es sei kaum eine längerfristige stabile Phase vorhanden, in welcher die Beschwerdeführerin einer Arbeit nachgehen könnte. Wenn die Situation bezüglich</w:t>
      </w:r>
    </w:p>
    <w:p>
      <w:r>
        <w:rPr>
          <w:b/>
        </w:rPr>
        <w:t>E. 10</w:t>
      </w:r>
    </w:p>
    <w:p>
      <w:r>
        <w:t>Februar 2025 E. 2.4, 8C_255/2024 vom 27. Januar 2025 E. 4.1, 8C_55/2023 vom 11. Juli 2023 E. 2.3 und 8C_758/2019 vom 19. Mai 2020 E. 3.2.1). Die lediglich unterschiedliche Beurteilung eines im Wesentlichen gleich gebliebenen Sachverhalts ist im revisionsrechtlichen Kontext hingegen unbeachtlich (vgl. BGE 144 I 103 E. 2.1 und 141 V 9 E. 2.3 m.w.H.; siehe ferner Urteile des Bundesgerichts 8C_250/2024 vom 14. April 2025 E. 2.2, 8C_343/2024 vom 10. Februar 2025 E. 2.4, 8C_255/2024 vom 27. Januar 2025 E. 4.1 und 8C_716/2022 vom 5. Juli 2023 E. 4.2). Weder eine im Vergleich zu früheren ärztlichen Einschätzungen ungleich attestierte Arbeitsunfähigkeit noch eine unterschiedliche diagnostische Einordnung des geltend gemachten Leidens genügen somit, um auf einen geänderten Gesundheitszustand zu schliessen; notwendig ist vielmehr eine veränderte Befundlage (vgl. BGE 144 I 103 E. 2.1; siehe ferner Urteile des Bundesgerichts 8C_250/2024 vom 14. April 2025 E. 2.2, 8C_155/2024 vom</w:t>
      </w:r>
    </w:p>
    <w:p>
      <w:r>
        <w:rPr>
          <w:b/>
        </w:rPr>
        <w:t>E. 10.1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r>
        <w:rPr>
          <w:b/>
        </w:rPr>
        <w:t>E. 10.2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(BR 310.250) wird die Parteientschädigung nach Ermessen des Gerichts festgesetzt, wobei es grundsätzlich von dem in der Honorarnote geltend gemachten (und als angemessen zu betrachtenden) Aufwand sowie vom (üblichen) Stundenansatz ausgeht.</w:t>
      </w:r>
    </w:p>
    <w:p>
      <w:r>
        <w:rPr>
          <w:b/>
        </w:rPr>
        <w:t>E. 10.3</w:t>
      </w:r>
    </w:p>
    <w:p>
      <w:r>
        <w:t>Der Rechtsvertreter der Beschwerdeführerin reichte aufforderungsgemäss am 29. Juli 2025 eine Honorarnote ein. Das geltend gemachte Honorar beläuft sich auf insgesamt CHF 2'476.25 (bestehend aus einem Aufwand von 13.9 Stunden à</w:t>
      </w:r>
    </w:p>
    <w:p>
      <w:r>
        <w:t>28 / 29 CHF 160.00 [CHF 2'224.00] zzgl. einer Spesenpauschale von 3 % [CHF 66.70] und 8.1 % MWST [CHF 185.55]). Dieses berücksichtigt sowohl den praxisgemäss geltenden, reduzierten Stundenansatz für Hilfsorganisationen, zu denen auch die Procap Schweiz zu zählen ist (vgl. PVG 2010 Nr. 31 und Nr. 32), als auch die rechtsprechungsgemäss anzuerkennende Spesenpauschale von 3 % des Honorars (vgl. Urteile des Verwaltungsgerichts des Kantons Graubünden S 24 31 vom 28. Mai 2024 E. 8.2.2, S 24 8 vom 12. März 2024 E. 8.2, S 23 55 vom 19. September 2023 E. 9.2.2, S 22 106 vom 1. November 2022 E. 4, S 21 117 vom 25. Januar 2022 E. 9 und S 2020 67 vom 8. Dezember 2020 E. 7). Insgesamt erweist sich somit eine Entschädigung von CHF 2'476.25 als angemessen. In diesem Umfang hat die Beschwerdegegnerin die Beschwerdeführerin aussergerichtlich zu entschädigen.</w:t>
      </w:r>
    </w:p>
    <w:p>
      <w:r>
        <w:rPr>
          <w:b/>
        </w:rPr>
        <w:t>E. 11</w:t>
      </w:r>
    </w:p>
    <w:p>
      <w:r>
        <w:t>/ 29 Arbeitsfähigkeit in adaptierter Tätigkeit auszugehen. Sollte formal eine Notwendigkeit einer polydisziplinären Rentenbegutachtung bestehen, könne diese natürlich erfolgen (vgl. IV-act. 235 S. 7).</w:t>
      </w:r>
    </w:p>
    <w:p>
      <w:r>
        <w:rPr>
          <w:b/>
        </w:rPr>
        <w:t>E. 12</w:t>
      </w:r>
    </w:p>
    <w:p>
      <w:r>
        <w:t>/ 29 der Gelenke einigermassen wieder im Lot sei, komme es zu einer erneuten pulmonalen Exazerbation aufgrund möglicherweise immunsuppremierender Medikamente. Insgesamt bestehe eine sehr schwierige Gesamtsituation mit einer schweren Beeinträchtigung der Beschwerdeführerin bezüglich ihrer Gelenke und der pulmonalen Situation. Letztere sei nicht in der Lage, in den Arbeitsmarkt integriert zu werden (vgl. IV-act. 226 S. 2 f.). 7.1. Hinsichtlich der sich aus den vorliegenden Akten ergebenden Herzbeschwerden ist darauf hinzuweisen, dass Dr. med. I._____, Leitender Arzt Medizin/Rheumatologie des D._____, in seinem Bericht vom 10. Juli 2023 ein anamnetisch neu aufgetretenes Vorhofflimmern (05/2023) auswies. In anamnestischer Hinsicht führte er insbesondere aus, dass die Beschwerdeführerin im Mai 2023 aufgrund einer beidseitigen Pneumonie hospitalisiert worden sei. Anlässlich dieser Infektion sei auch eine Herzrhythmusstörung aufgetreten. Diesbezüglich sei die Beschwerdeführerin in kardiologischer Kontrolle. Zusammenfassend hielt Dr. med. I._____ namentlich fest, zwischenzeitlich sei es neben einer beidseitigen Pneumonie mit anschliessendem Rehabilitationsaufenthalt wohl auch zu einem Vorhofflimmern gekommen, welches aktuell mit Metoprolol und Xarelto behandelt werde (vgl. IV-act. 209 S. 9 ff.). In den darauffolgenden Arztberichten wurde das Vorhofflimmern vom Mai 2023 als Diagnose zwar angeführt, allerdings wurden anlässlich dieser Untersuchungen von Seiten der Beschwerdeführerin weder Herzbeschwerden beklagt, noch konnten diesbezüglich auffällige Befunde erhoben werden (vgl. Berichte von Dr. med. I._____ vom 15. November 2023 [IV-act. 209 S. 12 ff.], vom 5. Februar 2024 [IV- act. 209 S. 15 ff.] und vom 10. Juni 2024 [IV-act. 226 S. 10 ff.]; Bericht von PD Dr. med. J._____, Chefärztin und Leiterin Pneumologie, D._____, und Assistenzärztin K._____ vom 6. Februar 2024 [IV-act. 226 S. 5 ff.], wonach betreffend Langzeit-EKG vom 15. Juni 2023 bis 20. Juni 2023 und in Bezug auf die transthorakale Echokardiographie vom 27. Juni 2023 weitestgehend unauffällige Befunde beschrieben werden; Berichte von Dr. med. G._____ vom 4. April 2024 [IV- act. 211] und vom 6. September 2024 [IV-act. 226 S. 1 ff.]). Vor diesem Hintergrund ist davon auszugehen, dass das Vorhofflimmern mit Blick auf den Vergleichszeitpunkt zwar eine neue Erkrankung darstellt, welche sich allerdings nur einmalig vor dem hier massgebenden Zeitpunkt ab dem 1. April 2024 manifestiert hat und deshalb auch keine Auswirkungen auf den Rentenanspruch zu zeitigen vermag (vgl. Art. 88a Abs. 2 und Art. 88bis Abs. 1 lit. a IVV). Insofern ist nicht zu beanstanden, wenn der RAD-Arzt Dr. med. H._____ in seiner Beurteilung vom 24. September 2024 festhielt, dass das Vorhofflimmern seit Mai 2023 bekannt sei</w:t>
      </w:r>
    </w:p>
    <w:p>
      <w:r>
        <w:rPr>
          <w:b/>
        </w:rPr>
        <w:t>E. 13</w:t>
      </w:r>
    </w:p>
    <w:p>
      <w:r>
        <w:t>/ 29 und zu keiner weiteren Beeinträchtigung der bereits reduzierten Arbeitsfähigkeit von 50 % führe (vgl. IV-act. 235 S. 7). 7.2. In Bezug auf das Harnsystem der Beschwerdeführerin ist festzuhalten, dass Dr. med. I._____ in seinem Bericht vom 17. Oktober 2022 anamnetisch rezidivierende Harnwegsinfekte auswies. Dazu führte er namentlich aus, als Hauptproblem bestünden unter anderem rezidivierende Harnwegsinfekte seit einer gynäkologischen Operation im März 2022. Auch bestünden Schmerzen im linken Unterbauch. Die Beschwerdeführerin habe gemäss ihren eigenen Angaben während mehrerer Wochen Antibiotika einnehmen müssen und leide aktuell wieder unter einem Harnwegsinfekt, weshalb sie Nitrofurantoin einnehme (vgl. IV-act. 209 S. 1 ff.). In seinem Bericht vom 20. Dezember 2022 hielt Dr. med. I._____ bei anamnestisch rezidivierenden Harnwegsinfekten zum Verlauf insbesondere fest, dass erneut Blasenentzündungen aufgetreten seien (vgl. IV-act. 209 S. 4 ff.; siehe ferner zur entsprechenden Diagnose Berichte von Dr. med. I._____ vom</w:t>
      </w:r>
    </w:p>
    <w:p>
      <w:r>
        <w:rPr>
          <w:b/>
        </w:rPr>
        <w:t>E. 17</w:t>
      </w:r>
    </w:p>
    <w:p>
      <w:r>
        <w:t>Februar 2023 [IV-act. 209 S. 7 f.], vom 10. Juli 2023 [IV-act. 209 S. 9 ff.], vom</w:t>
      </w:r>
    </w:p>
    <w:p>
      <w:r>
        <w:rPr>
          <w:b/>
        </w:rPr>
        <w:t>E. 18</w:t>
      </w:r>
    </w:p>
    <w:p>
      <w:r>
        <w:t>/ 29 15. November 2023 [IV-act. 209 S. 12 ff.], vom 5. Februar 2024 [IV-act. 209 S. 15 ff.] und vom 10. Juni 2024 [IV-act. 226 S. 10 ff.] sowie Bericht von PD Dr. med. J._____ und Assistenzärztin K._____ vom 6. Februar 2024 [IV-act. 226 S. 5 ff.] und Bericht von Dr. med. L._____ vom 16. April 2025 [IV-act. 237]). Sodann diagnostizierten Dr. med. M._____, Chefarzt Orthopädie des D._____, und Dipl. med. N._____, Assistenzarzt, in ihrem Bericht vom 24. Juni 2024 einen Status nach stellungskorrigierender Arthrodese am linken Fuss am 25. Oktober 2019 bei einer Polyarthrose mit aktuell beschwerdeführendem Fuss links und einen Status nach stellungskorrigierender Arthrodese am rechten Fuss am 20. April 2018 bei aktuell multiplem Schraubenbruch mit Dislokation eines Schraubenkopfes ins Subkutangewebe navicular. In anamnestischer Hinsicht führten sie namentlich aus, die Beschwerdeführerin berichte, vergangenen Donnerstag (20. Juni 2024) plötzlich ein Klicken im Bereich des rechten Rückfusses verspürt und seither eine Schwellung sowie Schmerzen am medialseitigen Rückfuss zu haben. Anlässlich der am Folgetag erfolgten hausärztlichen Vorstellung habe mittels Röntgenuntersuchung ein Schraubenbruch navicular festgestellt werden können. Dr. med. M._____ und Dipl. med. N._____ wiesen in befundlicher Hinsicht insbesondere eine sichtbare Schwellung und eine Druckdolenz mit tastbarem Schraubenkopf über dem Os naviculare aus. Sie hielten in ihrer Beurteilung namentlich fest, nach TMT I-III und NC-Arthrodesen vor gut sechs Jahren habe sich eigentlich ein beschwerdefreier Verlauf gezeigt. Vergangenen Donnerstag sei es jedoch zum Bruch der Schrauben im Bereich des Os naviculare gekommen mit aktuell störendem Osteosynthesematerial. Als weiteres Prozedere wurde mit der Beschwerdeführerin die operative Entfernung der abgebrochenen zwei Schraubenköpfe im ambulanten Setting vereinbart (vgl. IV-act. 226 S. 13 f.). Des Weiteren wies die Hausärztin Dr. med. G._____ in ihrem Bericht vom 6. September 2024 in Bezug auf den ausgewiesenen multiplen Schraubenbruch mit Dislokation eines Schraubenkopfes ins Subkutangewebe navicular auf die am 9. Juli 2024 erfolgte partielle Osteosynthesematerialentfernung der dislozierten Schraubenköpfe hin (vgl. IV-act. 226 S. 1 ff.; siehe auch Bericht von Dr. med. L._____ vom 16. April 2025 [IV-act. 237]). In Bezug auf den vorliegend massgebenden Vergleichszeitpunkt ist darauf hinzuweisen, dass Prof. Dr. med. F._____ in seinem rheumatologischen Gutachten vom 20. August 2020 eine generalisierte Osteoarthrose unter anderem bei einem Senk- und Spreizfuss beidseits, einer Hallux valgus-Fehlstellung beidseits und einer Lisfranc-Arthrose beidseits, bei einem Status nach stellungskorrigierender Arthrodese der TMT-Gelenke I-III, einer Naviculare-Cuboideum Arthrodese mit Spongiosaplastik, einer Osteosynthese des Os Metatarsale III mit Spongiosaplastik</w:t>
      </w:r>
    </w:p>
    <w:p>
      <w:r>
        <w:rPr>
          <w:b/>
        </w:rPr>
        <w:t>E. 19</w:t>
      </w:r>
    </w:p>
    <w:p>
      <w:r>
        <w:t>/ 29 und einer Hallux valgus-Korrektur am rechtens Fuss im April 2018 sowie bei stellungskorrigierender Arthrodese TMT I-III mit Spongiosaplastik und einer Hallux valgus-Korrektur links im Oktober 2019 mit Auswirkungen auf die Arbeitsfähigkeit auswies (vgl. IV-act. 134 S. 19). In seiner (versicherungs-)medizinischen Beurteilung führte er diesbezüglich insbesondere aus, dass die Beschwerdeführerin seit gut zehn Jahren an muskuloskelettalen Problemen leide. Initial hätten diese vor allem Abnutzungserscheinungen im Bereich der peripheren Gelenke betroffen. Im weiteren Verlauf sei es zu zunehmenden arthrotischen Problemen im Bereich der Füsse gekommen, welche schliesslich in den Jahren 2018 und 2019 operativ hätten angegangen werden müssen. Infolge der belastungsabhängigen, immer wieder auftretenden Beschwerden, insbesondere im Vorfussbereich beidseits, sei es der Beschwerdeführerin ab April 2018 nicht mehr möglich gewesen, ihrer mehrheitlich stehenden Tätigkeit als Köchin nachzugehen. Aktuell sei die Situation betreffend die degenerativen Veränderungen relativ stabil. Die beiden Operationen im Vorfussbereich hätten zu einer wesentlichen Beschwerdelinderung geführt. Dennoch sei es der Beschwerdeführerin aufgrund der erfolgten Operationen nicht mehr möglich, längere Tätigkeiten im Stehen und Gehen auszuüben (vgl. IV-act. 134 S. 20 f.). Zudem hielt RAD-Arzt Dr. med. H._____ in seiner Beurteilung vom 1. September 2021 zur erlittenen Beckenfraktur fest, dass diese und deren Folgen per Mitte Juli 2021 beschwerdefrei ausgeheilt seien. Diesbezüglich ergebe sich eine temporäre Arbeitsunfähigkeit von 100 % vom 31. März 2021 bis zum 14. Juli 2021 (vgl. IV-act. 188 S. 29 f.). Nach dem Gesagten ergibt sich aus dem Vergleich der im Referenzzeitpunkt gegebenen medizinischen Situation und derjenigen, wie sie sich anlässlich der angefochtenen Verfügung vom 18. März 2025 präsentierte, dass sowohl die Polyarthrose an den Füssen wie auch die infolge eines Sturzes auf die rechte Seite erlittene Beckenfraktur vorbekannt sind. Letztere ist – wie der RAD zu Recht ausführt – per Mitte Juli 2021 als vollständig ausgeheilt zu betrachten (vgl. Bericht von Dr. med. O._____, Leitender Arzt Unfall-/Allgemeinchirurgie, D._____, vom 14. Juli 2021 [IV-act. 161]). Nachdem sich zudem die Situation in Bezug auf die degenerativen Veränderungen im Vorfussbereich anlässlich der rheumatologischen Begutachtung durch Prof. Dr. med. F._____ im Juli 2020 – wie dargelegt – noch relativ stabil gezeigt hatte, erlitt die Beschwerdeführerin allerdings im August 2022 eine Insuffizienzfraktur des rechten Calcaneus und im vorliegend relevanten Zeitpunkt einen multiplen Schraubenbruch im rechten Fuss mit Schwellung sowie Schmerzen ab Mitte Juni 2024. Daraufhin erfolgte am 9. Juli 2024 – wie dargelegt – am rechten Fuss eine partielle Osteosynthesematerialentfernung der dislozierten Schraubenköpfe. Wenn sich RAD-Arzt Dr. med. H._____ in diesem</w:t>
      </w:r>
    </w:p>
    <w:p>
      <w:r>
        <w:rPr>
          <w:b/>
        </w:rPr>
        <w:t>E. 20</w:t>
      </w:r>
    </w:p>
    <w:p>
      <w:r>
        <w:t>Dezember 2022, 17. Februar 2023 und 10. Juli 2023 ein lumbovertebrales Schmerz-syndrom diagnostizierte (vgl. IV-act. 209 S. 1 ff.). Ausserdem wies er in seinen Berichten vom 15. November 2023 und 5. Februar 2024 neben einem lumbovertebralen Schmerzsyndrom ein zervikovertebrales Syndrom aus. Zur CT-Untersuchung der Lendenwirbelsäule vom 31. August 2023 führte er dabei namentlich aus, dass bekannte, fortgeschrittene Osteochondrosen sowie Facettengelenksarthrosen mit koronarer Gefügestörung und teilweisen Abstützreaktionen bestünden. Wie bereits anlässlich der Voruntersuchung zeige sich eine geringe Einengung des Spinalkanals auf multiplen Höhen, am deutlichsten auf Höhe LWK1/2 rechts und LWK4/5, so dass vorliegend eine Kompression der deszendierenden L5-Nervenwurzel denkbar wäre. Auch lägen hochgradige neuroforaminale Stenosen LWK4/5 (links grösser als rechts) und LWK5/SWK1 (links grösser als rechts) mit ebenfalls einer möglichen Affektion der jeweils austretenden L4- bzw. L5-Nervenwurzeln vor. Betreffend die CT-Untersuchung der Halswirbelsäule vom 2. Oktober 2023 hielt Dr. med. I._____ insbesondere fest, dass fortgeschrittene, degenerative Veränderungen der Halswirbelsäule vorlägen. Zur durchgeführten MRI-Untersuchung der Halswirbelsäule vom 10. Oktober 2023 führte er unter anderem aus, dass moderate osteodiskoligamentäre degenerative Veränderungen zervikal mit moderater neuroforaminaler Enge HWK5/6 und HWK6/7 linksseitig mit potenzieller Alteration von C6 und C7 links foraminal bestünden. Der umschriebene Reizzustand sei interspinös auf der Höhe des Processus spinosus HWK2 und 3 zu verorten (vgl. IV-act. 209 S. 12 ff.). Sodann stellten PD Dr. med. J._____ und Assistenzärztin K._____ in ihrem Bericht vom 6. Februar 2024 neben einem lumbovertebralen Schmerzsyndrom ein zervikospondylogenes Schmerzsyndrom (ED 29. September 2023) und Nackenschmerzen (Oktober 2023) fest und wiesen auf die Ergebnisse der CT- bzw. MRI-Untersuchung der Halswirbelsäule vom Oktober 2023 hin (vgl. IV-act. 226 S. 5 ff.; siehe ferner Berichte von Dr. med. G._____ vom 4. April 2024 [IV-act. 211] und vom 6. September 2024 [IV-act. 226 S. 1 ff.]). Im weiteren Verlauf hielt Dr. med. I._____ in seinem Bericht vom 10. Juni 2024 bei ausgewiesenem lumbovertebralem Schmerzsyndrom bzw. zervikovertebralem Syndrom und klinisch festgestellten</w:t>
      </w:r>
    </w:p>
    <w:p>
      <w:r>
        <w:rPr>
          <w:b/>
        </w:rPr>
        <w:t>E. 21</w:t>
      </w:r>
    </w:p>
    <w:p>
      <w:r>
        <w:t>/ 29 Druckdolenzen vor allem paravertebral im mittleren Brustwirbelsäulenbereich insbesondere fest, dass die tieflumbalen Rückenschmerzen zwischenzeitlich deutlich rückläufig seien. Aktuell bestünden verstärkt Schmerzen im Bereich der Brust- und Halswirbelsäule, wobei sich in einem Ende 2023 durchgeführten Thorax- CT eine ausgeprägte diffuse idiopathische Skelett-Hyperostose als mögliche Ursache gezeigt habe (vgl. IV-act. 226 S. 10 ff.). Ferner wies Dr. med. G._____ in ihrem Verlaufsbericht vom 24. Januar 2025 Rückenschmerzen aus und hielt in subjektiver Hinsicht insbesondere fest, dass die Beschwerdeführerin überhaupt nicht in guter Verfassung sei und über heftige thorakale Schmerzen klage (vgl. act. B.5). Schliesslich diagnostizierte Dr. med. L._____ in seinem Bericht vom 16. April 2025 ein lumbovertebrales Schmerzsyndrom sowie ein zervikovertebrales Syndrom, wobei er neben den Ergebnissen der im August und Oktober 2023 durchgeführten Untersuchungen der Lenden- und Halswirbelsäule auf die am 1. und 14. Oktober 2024 erfolgten CT-gesteuerten Facettengelenksinfiltrationen L4/5 beidseits bzw. L5/S1 beidseits hinwies (vgl. IV-act. 237; siehe betreffend Infiltrationen auch E-Mail des beschwerdeführerischen Rechtsvertreters vom</w:t>
      </w:r>
    </w:p>
    <w:p>
      <w:r>
        <w:rPr>
          <w:b/>
        </w:rPr>
        <w:t>E. 22</w:t>
      </w:r>
    </w:p>
    <w:p>
      <w:r>
        <w:t>April 2025 [IV-act. 236]), dass sich die Beschwerden im Bereich der Lendenwirbelsäule im vorliegend massgeblichen Zeitraum wieder verschlechtert haben. Zudem ist in Bezug auf die Beschwerden im Bereich der Hals- und Brustwirbelsäule festzuhalten, dass die Beschwerdeführerin anlässlich der rheumatologischen Begutachtung durch Prof. Dr. med. F._____ im Juli 2020 zwar Schmerzen im Nacken sowie Schultergürtel beklagte und Letzterer auch Bewegungseinschränkungen sowie eine leichte Muskelverspannung im Bereich der Hals- und Brustwirbelsäule befundete (vgl. rheumatologisches Gutachten von Prof. Dr. med. F._____ vom 20. August 2020 [IV-act. 134 S. 13 und S. 16]). Allerdings erachtete Prof. Dr. med. F._____ die belastungsabhängigen, immer wieder auftretenden Rückenprobleme im Begutachtungszeitpunkt – wie dargelegt – für deutlich reduziert und wies damals in Bezug auf die Hals- und Brustwirbelsäule</w:t>
      </w:r>
    </w:p>
    <w:p>
      <w:r>
        <w:rPr>
          <w:b/>
        </w:rPr>
        <w:t>E. 23</w:t>
      </w:r>
    </w:p>
    <w:p>
      <w:r>
        <w:t>/ 29 auch keine Diagnose (mit Auswirkungen auf die Arbeitsfähigkeit) aus (vgl. rheumatologisches Gutachten von Prof. Dr. med. F._____ vom 20. August 2020 [IV- act. 134 S. 19 f.]). Demgegenüber wird ärztlicherseits – wie dargelegt – seit Herbst 2023 bei namentlich fortgeschrittenen degenerativen Veränderungen der Halswirbelsäule ein Zervikalsyndrom ausgewiesen, wobei im Juni 2024 bei klinisch festgestellten Druckdolenzen insbesondere paravertebral links im mittleren Brustwirbelsäulenbereich von verstärkten Schmerzen im Bereich der Hals- sowie Brustwirbelsäule berichtet und eine ausgeprägte diffuse idiopathische Skelett- Hyperostose als mögliche Ursache genannt wurde (vgl. Bericht von Dr. med. I._____ vom 10. Juni 2024 [IV-act. 226 S. 10 ff.]). Insofern ist betreffend die Beschwerden an der Hals- und Brustwirbelsäule ebenfalls von einer Verschlechterung des Gesundheitszustands im vorliegend relevanten Zeitraum auszugehen. 7.6. Hinsichtlich der Pneumonien ist sodann festzuhalten, dass Dr. med. I._____ in seinem Bericht vom 10. Juli 2023 rezidivierende Pneumonien bei unter anderem einer beidseitigen Pneumonie im Mai 2023 auswies. In anamnestischer Hinsicht führte er insbesondere aus, die Beschwerdeführerin berichte, dass sie im Mai 2023 im P._____ aufgrund einer beidseitigen Pneumonie hospitalisiert gewesen sei, welche antibiotisch behandelt worden sei. Anschliessend habe sie sich zur Rehabilitation in Clavadel befunden. Hiervon habe sie recht gut profitieren können. Zusammenfassend hielt Dr. med. I._____ namentlich fest, dass es zwischenzeitlich zu einer beidseitigen Pneumonie mit anschliessendem Rehabilitationsaufenthalt gekommen sei. Die Ursache der Pneumonie sei unklar geblieben (vgl. IV-act. 209 S. 9 ff.). In der Folge wies er in seinem Bericht vom 15. November 2023 bei festgestellten rezidivierenden Pneumonien auf die CT-Thorax-Untersuchungen vom 29. September 2023 und 14. Oktober 2023 hin. Zur erstgenannten Untersuchung führte er namentlich aus, im Vergleich zur Voruntersuchung zeigten sich progrediente ground glass Opazitäten ubiquitär, aktuell mit Betonung der interlobulären Septen, was differentialdiagnostisch einer atypischen Pneumonie bzw. Pneumonitis entspreche. Auch bestehe ein Verdacht auf eine reaktive Lymphadenopathie beidseits hilär. Zu der Mitte Oktober 2023 erfolgten Untersuchung hielt Dr. med. I._____ unter anderem fest, es liege keine Lungenarterienembolie, aber eine vorbestehende Lymphadenopathie iliomediastinal und im Leberhilus vor. Zudem bestehe eine Regredienz der fleckigen ground glass Infiltrate in allen Lungenlappen mit aber persistierenden, deutlichen Residuen. In anamnetischer Hinsicht führte er sodann aus, die Beschwerdeführerin berichte, dass sie bis am 18. Oktober 2023 aufgrund einer erneuten Pneumonie bzw. Pneumonitis hospitalisiert gewesen sei. Aktuell gehe es ihr wieder besser. Die</w:t>
      </w:r>
    </w:p>
    <w:p>
      <w:r>
        <w:rPr>
          <w:b/>
        </w:rPr>
        <w:t>E. 24</w:t>
      </w:r>
    </w:p>
    <w:p>
      <w:r>
        <w:t>/ 29 genaue Ursache der erneut aufgetretenen Lungenentzündung sei unklar geblieben. Zusammenfassend befundete Dr. med. I._____ bei einem aktuell normalen Auskultationsbefund im Bereich der Lunge und einem normalen C-reaktiven Protein gemäss Labor, zwischenzeitlich sei es zu einer erneuten Hospitalisation aufgrund einer Pneumopathie gekommen, wobei weiterhin unklar sei, ob es sich um eine Infektion oder eine entzündliche Pathologie handle (vgl. IV-act. 209 S. 12 ff.). Im weiteren Verlauf berichtete Dr. med. I._____ am 5. Februar 2024 bei ausgewiesenen rezidivierenden Pneumonien und einem normalen pulmonalen Auskultationsbefund, dass sich bezüglich der Pneumopathie weiterhin ein erfreulicher Verlauf bei einer beschwerdefreien Beschwerdeführerin zeige (vgl. IV- act. 209 S. 15 ff., wonach die Beschwerdeführerin zudem auf eine vorgängig erfolgte pneumologische Verlaufsuntersuchung mit insgesamt erfreulichen Befunden hinwies). Ferner diagnostizierten PD Dr. med. J._____ und Assistenzärztin K._____ in ihrem Bericht vom 6. Februar 2024 rezidivierende atypische Pneumonien, DD eine Hypersensitivitätspneumonitis. Zum jetzigen Leiden führten sie namentlich aus, dass die Beschwerdeführerin vom</w:t>
      </w:r>
    </w:p>
    <w:p>
      <w:r>
        <w:rPr>
          <w:b/>
        </w:rPr>
        <w:t>E. 29</w:t>
      </w:r>
    </w:p>
    <w:p>
      <w:r>
        <w:t>/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